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CBA61" w14:textId="2AF38D9E" w:rsidR="00A37881" w:rsidRPr="00A37881" w:rsidRDefault="00A37881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>Repetición de antecedentes contractuales</w:t>
      </w:r>
    </w:p>
    <w:p w14:paraId="5D1B6DFC" w14:textId="1E8AB3C1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El documento presenta reiteración del mismo contenido en varias secciones relacionadas con</w:t>
      </w:r>
      <w:r w:rsidRPr="00A37881">
        <w:rPr>
          <w:rFonts w:asciiTheme="majorHAnsi" w:hAnsiTheme="majorHAnsi" w:cstheme="majorHAnsi"/>
          <w:sz w:val="22"/>
          <w:szCs w:val="22"/>
        </w:rPr>
        <w:t xml:space="preserve"> los antecedentes, l</w:t>
      </w:r>
      <w:r w:rsidRPr="00A37881">
        <w:rPr>
          <w:rFonts w:asciiTheme="majorHAnsi" w:hAnsiTheme="majorHAnsi" w:cstheme="majorHAnsi"/>
          <w:sz w:val="22"/>
          <w:szCs w:val="22"/>
        </w:rPr>
        <w:t>as narrativas son muy similares y en algunos casos prácticamente duplicadas.</w:t>
      </w:r>
    </w:p>
    <w:p w14:paraId="68D08280" w14:textId="450B1C49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Les sugiero revisar y suprimir los textos reiterados y repetitivos, esto i</w:t>
      </w:r>
      <w:r w:rsidRPr="00A37881">
        <w:rPr>
          <w:rFonts w:asciiTheme="majorHAnsi" w:hAnsiTheme="majorHAnsi" w:cstheme="majorHAnsi"/>
          <w:sz w:val="22"/>
          <w:szCs w:val="22"/>
        </w:rPr>
        <w:t>ncrement</w:t>
      </w:r>
      <w:r w:rsidRPr="00A37881">
        <w:rPr>
          <w:rFonts w:asciiTheme="majorHAnsi" w:hAnsiTheme="majorHAnsi" w:cstheme="majorHAnsi"/>
          <w:sz w:val="22"/>
          <w:szCs w:val="22"/>
        </w:rPr>
        <w:t>a i</w:t>
      </w:r>
      <w:r w:rsidRPr="00A37881">
        <w:rPr>
          <w:rFonts w:asciiTheme="majorHAnsi" w:hAnsiTheme="majorHAnsi" w:cstheme="majorHAnsi"/>
          <w:sz w:val="22"/>
          <w:szCs w:val="22"/>
        </w:rPr>
        <w:t>nnecesari</w:t>
      </w:r>
      <w:r w:rsidRPr="00A37881">
        <w:rPr>
          <w:rFonts w:asciiTheme="majorHAnsi" w:hAnsiTheme="majorHAnsi" w:cstheme="majorHAnsi"/>
          <w:sz w:val="22"/>
          <w:szCs w:val="22"/>
        </w:rPr>
        <w:t xml:space="preserve">amente </w:t>
      </w:r>
      <w:r w:rsidRPr="00A37881">
        <w:rPr>
          <w:rFonts w:asciiTheme="majorHAnsi" w:hAnsiTheme="majorHAnsi" w:cstheme="majorHAnsi"/>
          <w:sz w:val="22"/>
          <w:szCs w:val="22"/>
        </w:rPr>
        <w:t>el tamaño del documento</w:t>
      </w:r>
      <w:r w:rsidRPr="00A37881">
        <w:rPr>
          <w:rFonts w:asciiTheme="majorHAnsi" w:hAnsiTheme="majorHAnsi" w:cstheme="majorHAnsi"/>
          <w:sz w:val="22"/>
          <w:szCs w:val="22"/>
        </w:rPr>
        <w:t xml:space="preserve"> y en caso de requerir actualizar información genera un p</w:t>
      </w:r>
      <w:r w:rsidRPr="00A37881">
        <w:rPr>
          <w:rFonts w:asciiTheme="majorHAnsi" w:hAnsiTheme="majorHAnsi" w:cstheme="majorHAnsi"/>
          <w:sz w:val="22"/>
          <w:szCs w:val="22"/>
        </w:rPr>
        <w:t xml:space="preserve">osible </w:t>
      </w:r>
      <w:r w:rsidRPr="00A37881">
        <w:rPr>
          <w:rFonts w:asciiTheme="majorHAnsi" w:hAnsiTheme="majorHAnsi" w:cstheme="majorHAnsi"/>
          <w:sz w:val="22"/>
          <w:szCs w:val="22"/>
        </w:rPr>
        <w:t xml:space="preserve">riesgo de </w:t>
      </w:r>
      <w:r w:rsidRPr="00A37881">
        <w:rPr>
          <w:rFonts w:asciiTheme="majorHAnsi" w:hAnsiTheme="majorHAnsi" w:cstheme="majorHAnsi"/>
          <w:sz w:val="22"/>
          <w:szCs w:val="22"/>
        </w:rPr>
        <w:t>inconsistencia si se modifica un bloque y no el otr</w:t>
      </w:r>
      <w:r w:rsidRPr="00A37881">
        <w:rPr>
          <w:rFonts w:asciiTheme="majorHAnsi" w:hAnsiTheme="majorHAnsi" w:cstheme="majorHAnsi"/>
          <w:sz w:val="22"/>
          <w:szCs w:val="22"/>
        </w:rPr>
        <w:t>o. Si es posible c</w:t>
      </w:r>
      <w:r w:rsidRPr="00A37881">
        <w:rPr>
          <w:rFonts w:asciiTheme="majorHAnsi" w:hAnsiTheme="majorHAnsi" w:cstheme="majorHAnsi"/>
          <w:sz w:val="22"/>
          <w:szCs w:val="22"/>
        </w:rPr>
        <w:t>onsolidar en una sola estructura:</w:t>
      </w:r>
      <w:r w:rsidRPr="00A37881">
        <w:rPr>
          <w:rFonts w:asciiTheme="majorHAnsi" w:hAnsiTheme="majorHAnsi" w:cstheme="majorHAnsi"/>
          <w:sz w:val="22"/>
          <w:szCs w:val="22"/>
        </w:rPr>
        <w:t xml:space="preserve"> </w:t>
      </w:r>
      <w:r w:rsidRPr="00A37881">
        <w:rPr>
          <w:rFonts w:asciiTheme="majorHAnsi" w:hAnsiTheme="majorHAnsi" w:cstheme="majorHAnsi"/>
          <w:sz w:val="22"/>
          <w:szCs w:val="22"/>
        </w:rPr>
        <w:t>Antecedentes estudios y diseños</w:t>
      </w:r>
      <w:r w:rsidRPr="00A37881">
        <w:rPr>
          <w:rFonts w:asciiTheme="majorHAnsi" w:hAnsiTheme="majorHAnsi" w:cstheme="majorHAnsi"/>
          <w:sz w:val="22"/>
          <w:szCs w:val="22"/>
        </w:rPr>
        <w:t>, a</w:t>
      </w:r>
      <w:r w:rsidRPr="00A37881">
        <w:rPr>
          <w:rFonts w:asciiTheme="majorHAnsi" w:hAnsiTheme="majorHAnsi" w:cstheme="majorHAnsi"/>
          <w:sz w:val="22"/>
          <w:szCs w:val="22"/>
        </w:rPr>
        <w:t xml:space="preserve">ntecedentes </w:t>
      </w:r>
      <w:r w:rsidRPr="00A37881">
        <w:rPr>
          <w:rFonts w:asciiTheme="majorHAnsi" w:hAnsiTheme="majorHAnsi" w:cstheme="majorHAnsi"/>
          <w:sz w:val="22"/>
          <w:szCs w:val="22"/>
        </w:rPr>
        <w:t xml:space="preserve">de </w:t>
      </w:r>
      <w:r w:rsidRPr="00A37881">
        <w:rPr>
          <w:rFonts w:asciiTheme="majorHAnsi" w:hAnsiTheme="majorHAnsi" w:cstheme="majorHAnsi"/>
          <w:sz w:val="22"/>
          <w:szCs w:val="22"/>
        </w:rPr>
        <w:t>ejecución de obra (Contrato 952-2021)</w:t>
      </w:r>
      <w:r w:rsidRPr="00A37881">
        <w:rPr>
          <w:rFonts w:asciiTheme="majorHAnsi" w:hAnsiTheme="majorHAnsi" w:cstheme="majorHAnsi"/>
          <w:sz w:val="22"/>
          <w:szCs w:val="22"/>
        </w:rPr>
        <w:t xml:space="preserve"> y el </w:t>
      </w:r>
      <w:r w:rsidRPr="00A37881">
        <w:rPr>
          <w:rFonts w:asciiTheme="majorHAnsi" w:hAnsiTheme="majorHAnsi" w:cstheme="majorHAnsi"/>
          <w:sz w:val="22"/>
          <w:szCs w:val="22"/>
        </w:rPr>
        <w:t>Estado actual de las obras</w:t>
      </w:r>
    </w:p>
    <w:p w14:paraId="74852845" w14:textId="1CC2AF6B" w:rsidR="00A37881" w:rsidRPr="00A37881" w:rsidRDefault="00A37881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>Duplicación del análisis sobre la necesidad del nuevo contrato</w:t>
      </w:r>
    </w:p>
    <w:p w14:paraId="46A7B8B2" w14:textId="57D18BEF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La justificación para iniciar un nuevo proceso licitatorio aparece varias veces con argumentos casi idénticos</w:t>
      </w:r>
      <w:r w:rsidRPr="00A37881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terminación de obras pendientes</w:t>
      </w:r>
      <w:r w:rsidRPr="00A37881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principios de eficacia, economía y responsabilidad</w:t>
      </w:r>
      <w:r w:rsidRPr="00A37881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continuidad del servicio</w:t>
      </w:r>
      <w:r w:rsidRPr="00A37881">
        <w:rPr>
          <w:rFonts w:asciiTheme="majorHAnsi" w:hAnsiTheme="majorHAnsi" w:cstheme="majorHAnsi"/>
          <w:sz w:val="22"/>
          <w:szCs w:val="22"/>
        </w:rPr>
        <w:t>. Estos argumentos se repiten</w:t>
      </w:r>
      <w:r w:rsidRPr="00A37881">
        <w:rPr>
          <w:rFonts w:asciiTheme="majorHAnsi" w:hAnsiTheme="majorHAnsi" w:cstheme="majorHAnsi"/>
          <w:sz w:val="22"/>
          <w:szCs w:val="22"/>
        </w:rPr>
        <w:t xml:space="preserve"> en al menos </w:t>
      </w:r>
      <w:r w:rsidRPr="00A37881">
        <w:rPr>
          <w:rFonts w:asciiTheme="majorHAnsi" w:hAnsiTheme="majorHAnsi" w:cstheme="majorHAnsi"/>
          <w:sz w:val="22"/>
          <w:szCs w:val="22"/>
        </w:rPr>
        <w:t xml:space="preserve">numerales </w:t>
      </w:r>
      <w:r w:rsidRPr="00A37881">
        <w:rPr>
          <w:rFonts w:asciiTheme="majorHAnsi" w:hAnsiTheme="majorHAnsi" w:cstheme="majorHAnsi"/>
          <w:sz w:val="22"/>
          <w:szCs w:val="22"/>
        </w:rPr>
        <w:t>consecutivos.</w:t>
      </w:r>
    </w:p>
    <w:p w14:paraId="419BE672" w14:textId="1F180831" w:rsidR="00A37881" w:rsidRPr="00A37881" w:rsidRDefault="00A37881" w:rsidP="00B74D38">
      <w:pPr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Les sugiero d</w:t>
      </w:r>
      <w:r w:rsidRPr="00A37881">
        <w:rPr>
          <w:rFonts w:asciiTheme="majorHAnsi" w:hAnsiTheme="majorHAnsi" w:cstheme="majorHAnsi"/>
          <w:sz w:val="22"/>
          <w:szCs w:val="22"/>
        </w:rPr>
        <w:t>ejar una sola sección de justificación contractual consolidada. jurídicas y contractuales</w:t>
      </w:r>
    </w:p>
    <w:p w14:paraId="14E470AB" w14:textId="57D6797C" w:rsidR="00A37881" w:rsidRPr="00A37881" w:rsidRDefault="00981440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981440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Revisar la pertinencia </w:t>
      </w:r>
      <w:r w:rsidR="00A37881"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>conceptual: “obras inconclusas”</w:t>
      </w:r>
    </w:p>
    <w:p w14:paraId="20F1BDE7" w14:textId="4A1D53EB" w:rsidR="00A37881" w:rsidRPr="00A37881" w:rsidRDefault="00A37881" w:rsidP="00B74D38">
      <w:pPr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El documento afirma</w:t>
      </w:r>
      <w:r w:rsidR="00981440">
        <w:rPr>
          <w:rFonts w:asciiTheme="majorHAnsi" w:hAnsiTheme="majorHAnsi" w:cstheme="majorHAnsi"/>
          <w:sz w:val="22"/>
          <w:szCs w:val="22"/>
        </w:rPr>
        <w:t xml:space="preserve">. </w:t>
      </w:r>
      <w:r w:rsidRPr="00A37881">
        <w:rPr>
          <w:rFonts w:asciiTheme="majorHAnsi" w:hAnsiTheme="majorHAnsi" w:cstheme="majorHAnsi"/>
          <w:sz w:val="22"/>
          <w:szCs w:val="22"/>
        </w:rPr>
        <w:t>“no han sido catalogadas como obras inconclusas”</w:t>
      </w:r>
      <w:r w:rsidR="00981440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pero simultáneamente</w:t>
      </w:r>
      <w:r w:rsidR="00981440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se habla de frentes de obra no ejecutados</w:t>
      </w:r>
      <w:r w:rsidR="00981440">
        <w:rPr>
          <w:rFonts w:asciiTheme="majorHAnsi" w:hAnsiTheme="majorHAnsi" w:cstheme="majorHAnsi"/>
          <w:sz w:val="22"/>
          <w:szCs w:val="22"/>
        </w:rPr>
        <w:t xml:space="preserve"> y </w:t>
      </w:r>
      <w:r w:rsidRPr="00A37881">
        <w:rPr>
          <w:rFonts w:asciiTheme="majorHAnsi" w:hAnsiTheme="majorHAnsi" w:cstheme="majorHAnsi"/>
          <w:sz w:val="22"/>
          <w:szCs w:val="22"/>
        </w:rPr>
        <w:t>se menciona incumplimiento total del contrato</w:t>
      </w:r>
    </w:p>
    <w:p w14:paraId="4F5AE58B" w14:textId="6AFE95B4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Esto puede generar un</w:t>
      </w:r>
      <w:r w:rsidR="00981440">
        <w:rPr>
          <w:rFonts w:asciiTheme="majorHAnsi" w:hAnsiTheme="majorHAnsi" w:cstheme="majorHAnsi"/>
          <w:sz w:val="22"/>
          <w:szCs w:val="22"/>
        </w:rPr>
        <w:t>a mala interpretación</w:t>
      </w:r>
      <w:r w:rsidRPr="00A37881">
        <w:rPr>
          <w:rFonts w:asciiTheme="majorHAnsi" w:hAnsiTheme="majorHAnsi" w:cstheme="majorHAnsi"/>
          <w:sz w:val="22"/>
          <w:szCs w:val="22"/>
        </w:rPr>
        <w:t xml:space="preserve"> </w:t>
      </w:r>
      <w:r w:rsidR="00981440" w:rsidRPr="00A37881">
        <w:rPr>
          <w:rFonts w:asciiTheme="majorHAnsi" w:hAnsiTheme="majorHAnsi" w:cstheme="majorHAnsi"/>
          <w:sz w:val="22"/>
          <w:szCs w:val="22"/>
        </w:rPr>
        <w:t>conceptua</w:t>
      </w:r>
      <w:r w:rsidR="00981440">
        <w:rPr>
          <w:rFonts w:asciiTheme="majorHAnsi" w:hAnsiTheme="majorHAnsi" w:cstheme="majorHAnsi"/>
          <w:sz w:val="22"/>
          <w:szCs w:val="22"/>
        </w:rPr>
        <w:t>l, en</w:t>
      </w:r>
      <w:r w:rsidRPr="00A37881">
        <w:rPr>
          <w:rFonts w:asciiTheme="majorHAnsi" w:hAnsiTheme="majorHAnsi" w:cstheme="majorHAnsi"/>
          <w:sz w:val="22"/>
          <w:szCs w:val="22"/>
        </w:rPr>
        <w:t xml:space="preserve"> procesos de control fiscal o auditoría puede surgir </w:t>
      </w:r>
      <w:r w:rsidR="00981440">
        <w:rPr>
          <w:rFonts w:asciiTheme="majorHAnsi" w:hAnsiTheme="majorHAnsi" w:cstheme="majorHAnsi"/>
          <w:sz w:val="22"/>
          <w:szCs w:val="22"/>
        </w:rPr>
        <w:t xml:space="preserve">suspicacias </w:t>
      </w:r>
      <w:r w:rsidRPr="00A37881">
        <w:rPr>
          <w:rFonts w:asciiTheme="majorHAnsi" w:hAnsiTheme="majorHAnsi" w:cstheme="majorHAnsi"/>
          <w:sz w:val="22"/>
          <w:szCs w:val="22"/>
        </w:rPr>
        <w:t>¿por qué no se catalogan como obra inconclusa si existe incumplimiento total?</w:t>
      </w:r>
    </w:p>
    <w:p w14:paraId="04532177" w14:textId="11BABA7E" w:rsidR="00A37881" w:rsidRPr="00A37881" w:rsidRDefault="00981440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A su consideración les sugiero, a</w:t>
      </w:r>
      <w:r w:rsidR="00A37881" w:rsidRPr="00A37881">
        <w:rPr>
          <w:rFonts w:asciiTheme="majorHAnsi" w:hAnsiTheme="majorHAnsi" w:cstheme="majorHAnsi"/>
          <w:sz w:val="22"/>
          <w:szCs w:val="22"/>
        </w:rPr>
        <w:t>clarar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A37881" w:rsidRPr="00A37881">
        <w:rPr>
          <w:rFonts w:asciiTheme="majorHAnsi" w:hAnsiTheme="majorHAnsi" w:cstheme="majorHAnsi"/>
          <w:sz w:val="22"/>
          <w:szCs w:val="22"/>
        </w:rPr>
        <w:t>que no se consideran obra inconclusa porque el contrato fue liquidado con incumplimiento, pero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="00A37881" w:rsidRPr="00A37881">
        <w:rPr>
          <w:rFonts w:asciiTheme="majorHAnsi" w:hAnsiTheme="majorHAnsi" w:cstheme="majorHAnsi"/>
          <w:sz w:val="22"/>
          <w:szCs w:val="22"/>
        </w:rPr>
        <w:t>existen actividades no ejecutadas que requieren nueva contratación.</w:t>
      </w:r>
    </w:p>
    <w:p w14:paraId="54B80CBD" w14:textId="5FA3434E" w:rsidR="00A37881" w:rsidRPr="00A37881" w:rsidRDefault="00612F06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Les deje una </w:t>
      </w:r>
      <w:r w:rsidR="00A37881"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>nota sobre integración de obras existentes</w:t>
      </w:r>
    </w:p>
    <w:p w14:paraId="00EBF199" w14:textId="28CD4576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El documento describe que</w:t>
      </w:r>
      <w:r w:rsidR="00612F06">
        <w:rPr>
          <w:rFonts w:asciiTheme="majorHAnsi" w:hAnsiTheme="majorHAnsi" w:cstheme="majorHAnsi"/>
          <w:sz w:val="22"/>
          <w:szCs w:val="22"/>
        </w:rPr>
        <w:t xml:space="preserve"> </w:t>
      </w:r>
      <w:r w:rsidRPr="00A37881">
        <w:rPr>
          <w:rFonts w:asciiTheme="majorHAnsi" w:hAnsiTheme="majorHAnsi" w:cstheme="majorHAnsi"/>
          <w:sz w:val="22"/>
          <w:szCs w:val="22"/>
        </w:rPr>
        <w:t>existen obras parcialmente ejecutadas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existen muros, redes, pavimentos parcialmente construidos</w:t>
      </w:r>
      <w:r w:rsidR="00612F06">
        <w:rPr>
          <w:rFonts w:asciiTheme="majorHAnsi" w:hAnsiTheme="majorHAnsi" w:cstheme="majorHAnsi"/>
          <w:sz w:val="22"/>
          <w:szCs w:val="22"/>
        </w:rPr>
        <w:t xml:space="preserve">. </w:t>
      </w:r>
      <w:r w:rsidRPr="00A37881">
        <w:rPr>
          <w:rFonts w:asciiTheme="majorHAnsi" w:hAnsiTheme="majorHAnsi" w:cstheme="majorHAnsi"/>
          <w:sz w:val="22"/>
          <w:szCs w:val="22"/>
        </w:rPr>
        <w:t xml:space="preserve">Sin </w:t>
      </w:r>
      <w:r w:rsidR="00612F06" w:rsidRPr="00A37881">
        <w:rPr>
          <w:rFonts w:asciiTheme="majorHAnsi" w:hAnsiTheme="majorHAnsi" w:cstheme="majorHAnsi"/>
          <w:sz w:val="22"/>
          <w:szCs w:val="22"/>
        </w:rPr>
        <w:t>embargo,</w:t>
      </w:r>
      <w:r w:rsidRPr="00A37881">
        <w:rPr>
          <w:rFonts w:asciiTheme="majorHAnsi" w:hAnsiTheme="majorHAnsi" w:cstheme="majorHAnsi"/>
          <w:sz w:val="22"/>
          <w:szCs w:val="22"/>
        </w:rPr>
        <w:t xml:space="preserve"> no </w:t>
      </w:r>
      <w:r w:rsidR="00612F06">
        <w:rPr>
          <w:rFonts w:asciiTheme="majorHAnsi" w:hAnsiTheme="majorHAnsi" w:cstheme="majorHAnsi"/>
          <w:sz w:val="22"/>
          <w:szCs w:val="22"/>
        </w:rPr>
        <w:t xml:space="preserve">existía </w:t>
      </w:r>
      <w:r w:rsidRPr="00A37881">
        <w:rPr>
          <w:rFonts w:asciiTheme="majorHAnsi" w:hAnsiTheme="majorHAnsi" w:cstheme="majorHAnsi"/>
          <w:sz w:val="22"/>
          <w:szCs w:val="22"/>
        </w:rPr>
        <w:t>una nota técnica explícita que establezca</w:t>
      </w:r>
      <w:r w:rsidR="00612F06">
        <w:rPr>
          <w:rFonts w:asciiTheme="majorHAnsi" w:hAnsiTheme="majorHAnsi" w:cstheme="majorHAnsi"/>
          <w:sz w:val="22"/>
          <w:szCs w:val="22"/>
        </w:rPr>
        <w:t xml:space="preserve">, la </w:t>
      </w:r>
      <w:r w:rsidRPr="00A37881">
        <w:rPr>
          <w:rFonts w:asciiTheme="majorHAnsi" w:hAnsiTheme="majorHAnsi" w:cstheme="majorHAnsi"/>
          <w:sz w:val="22"/>
          <w:szCs w:val="22"/>
        </w:rPr>
        <w:t>obligación de integrar lo existente</w:t>
      </w:r>
      <w:r w:rsidR="00612F06">
        <w:rPr>
          <w:rFonts w:asciiTheme="majorHAnsi" w:hAnsiTheme="majorHAnsi" w:cstheme="majorHAnsi"/>
          <w:sz w:val="22"/>
          <w:szCs w:val="22"/>
        </w:rPr>
        <w:t xml:space="preserve"> y la </w:t>
      </w:r>
      <w:r w:rsidRPr="00A37881">
        <w:rPr>
          <w:rFonts w:asciiTheme="majorHAnsi" w:hAnsiTheme="majorHAnsi" w:cstheme="majorHAnsi"/>
          <w:sz w:val="22"/>
          <w:szCs w:val="22"/>
        </w:rPr>
        <w:t>prohibición de demoler sin justificación</w:t>
      </w:r>
      <w:r w:rsidR="00612F06">
        <w:rPr>
          <w:rFonts w:asciiTheme="majorHAnsi" w:hAnsiTheme="majorHAnsi" w:cstheme="majorHAnsi"/>
          <w:sz w:val="22"/>
          <w:szCs w:val="22"/>
        </w:rPr>
        <w:t xml:space="preserve"> suficientemente argumentada y avalada por la DHE y su interventoría. </w:t>
      </w:r>
    </w:p>
    <w:p w14:paraId="514A1EA3" w14:textId="6F3A41A3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Este punto es crítico porque</w:t>
      </w:r>
      <w:r w:rsidR="00612F06">
        <w:rPr>
          <w:rFonts w:asciiTheme="majorHAnsi" w:hAnsiTheme="majorHAnsi" w:cstheme="majorHAnsi"/>
          <w:sz w:val="22"/>
          <w:szCs w:val="22"/>
        </w:rPr>
        <w:t xml:space="preserve"> </w:t>
      </w:r>
      <w:r w:rsidRPr="00A37881">
        <w:rPr>
          <w:rFonts w:asciiTheme="majorHAnsi" w:hAnsiTheme="majorHAnsi" w:cstheme="majorHAnsi"/>
          <w:sz w:val="22"/>
          <w:szCs w:val="22"/>
        </w:rPr>
        <w:t>el contrato parte de infraestructura existente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se debe proteger el recurso público</w:t>
      </w:r>
      <w:r w:rsidR="00612F06">
        <w:rPr>
          <w:rFonts w:asciiTheme="majorHAnsi" w:hAnsiTheme="majorHAnsi" w:cstheme="majorHAnsi"/>
          <w:sz w:val="22"/>
          <w:szCs w:val="22"/>
        </w:rPr>
        <w:t xml:space="preserve"> e</w:t>
      </w:r>
      <w:r w:rsidRPr="00A37881">
        <w:rPr>
          <w:rFonts w:asciiTheme="majorHAnsi" w:hAnsiTheme="majorHAnsi" w:cstheme="majorHAnsi"/>
          <w:sz w:val="22"/>
          <w:szCs w:val="22"/>
        </w:rPr>
        <w:t>sto debería quedar como nota técnica contractual</w:t>
      </w:r>
      <w:r w:rsidR="00612F06">
        <w:rPr>
          <w:rFonts w:asciiTheme="majorHAnsi" w:hAnsiTheme="majorHAnsi" w:cstheme="majorHAnsi"/>
          <w:sz w:val="22"/>
          <w:szCs w:val="22"/>
        </w:rPr>
        <w:t xml:space="preserve">, lo suficientemente respaldada. </w:t>
      </w:r>
    </w:p>
    <w:p w14:paraId="23863F90" w14:textId="2CA5D0CF" w:rsidR="00A37881" w:rsidRPr="00A37881" w:rsidRDefault="00612F06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612F06">
        <w:rPr>
          <w:rFonts w:asciiTheme="majorHAnsi" w:hAnsiTheme="majorHAnsi" w:cstheme="majorHAnsi"/>
          <w:b/>
          <w:bCs/>
          <w:sz w:val="22"/>
          <w:szCs w:val="22"/>
          <w:u w:val="single"/>
        </w:rPr>
        <w:t>A</w:t>
      </w:r>
      <w:r w:rsidR="00A37881"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>lcance de</w:t>
      </w:r>
      <w:r w:rsidRPr="00612F06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la</w:t>
      </w:r>
      <w:r w:rsidR="00A37881"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actualización de diseños</w:t>
      </w:r>
    </w:p>
    <w:p w14:paraId="66EBC776" w14:textId="0D38BEA0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>El documento dice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i/>
          <w:iCs/>
          <w:sz w:val="22"/>
          <w:szCs w:val="22"/>
        </w:rPr>
        <w:t>“no se requieren actualizaciones en la totalidad de los diseños”</w:t>
      </w:r>
      <w:r w:rsidR="00612F06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A37881">
        <w:rPr>
          <w:rFonts w:asciiTheme="majorHAnsi" w:hAnsiTheme="majorHAnsi" w:cstheme="majorHAnsi"/>
          <w:sz w:val="22"/>
          <w:szCs w:val="22"/>
        </w:rPr>
        <w:t>pero no queda claramente delimitado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qué sí se actualiza y qué no.</w:t>
      </w:r>
      <w:r w:rsidR="00612F06">
        <w:rPr>
          <w:rFonts w:asciiTheme="majorHAnsi" w:hAnsiTheme="majorHAnsi" w:cstheme="majorHAnsi"/>
          <w:sz w:val="22"/>
          <w:szCs w:val="22"/>
        </w:rPr>
        <w:t xml:space="preserve"> </w:t>
      </w:r>
      <w:r w:rsidRPr="00A37881">
        <w:rPr>
          <w:rFonts w:asciiTheme="majorHAnsi" w:hAnsiTheme="majorHAnsi" w:cstheme="majorHAnsi"/>
          <w:sz w:val="22"/>
          <w:szCs w:val="22"/>
        </w:rPr>
        <w:t>Se mencionan</w:t>
      </w:r>
      <w:r w:rsidR="00612F06">
        <w:rPr>
          <w:rFonts w:asciiTheme="majorHAnsi" w:hAnsiTheme="majorHAnsi" w:cstheme="majorHAnsi"/>
          <w:sz w:val="22"/>
          <w:szCs w:val="22"/>
        </w:rPr>
        <w:t xml:space="preserve"> entre otros </w:t>
      </w:r>
      <w:r w:rsidRPr="00A37881">
        <w:rPr>
          <w:rFonts w:asciiTheme="majorHAnsi" w:hAnsiTheme="majorHAnsi" w:cstheme="majorHAnsi"/>
          <w:sz w:val="22"/>
          <w:szCs w:val="22"/>
        </w:rPr>
        <w:t>muros de contención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redes hidrosanitarias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pero no se establece un cuadro claro de alcance</w:t>
      </w:r>
      <w:r w:rsidR="00612F06">
        <w:rPr>
          <w:rFonts w:asciiTheme="majorHAnsi" w:hAnsiTheme="majorHAnsi" w:cstheme="majorHAnsi"/>
          <w:sz w:val="22"/>
          <w:szCs w:val="22"/>
        </w:rPr>
        <w:t>, el posible ri</w:t>
      </w:r>
      <w:r w:rsidRPr="00A37881">
        <w:rPr>
          <w:rFonts w:asciiTheme="majorHAnsi" w:hAnsiTheme="majorHAnsi" w:cstheme="majorHAnsi"/>
          <w:sz w:val="22"/>
          <w:szCs w:val="22"/>
        </w:rPr>
        <w:t>esgo</w:t>
      </w:r>
      <w:r w:rsidR="00612F06">
        <w:rPr>
          <w:rFonts w:asciiTheme="majorHAnsi" w:hAnsiTheme="majorHAnsi" w:cstheme="majorHAnsi"/>
          <w:sz w:val="22"/>
          <w:szCs w:val="22"/>
        </w:rPr>
        <w:t xml:space="preserve"> es la i</w:t>
      </w:r>
      <w:r w:rsidR="00612F06" w:rsidRPr="00A37881">
        <w:rPr>
          <w:rFonts w:asciiTheme="majorHAnsi" w:hAnsiTheme="majorHAnsi" w:cstheme="majorHAnsi"/>
          <w:sz w:val="22"/>
          <w:szCs w:val="22"/>
        </w:rPr>
        <w:t>nterpretación</w:t>
      </w:r>
      <w:r w:rsidRPr="00A37881">
        <w:rPr>
          <w:rFonts w:asciiTheme="majorHAnsi" w:hAnsiTheme="majorHAnsi" w:cstheme="majorHAnsi"/>
          <w:sz w:val="22"/>
          <w:szCs w:val="22"/>
        </w:rPr>
        <w:t xml:space="preserve"> diferente por los proponentes.</w:t>
      </w:r>
    </w:p>
    <w:p w14:paraId="5487C556" w14:textId="19DC64AC" w:rsidR="00A37881" w:rsidRPr="00A37881" w:rsidRDefault="00A37881" w:rsidP="00B74D38">
      <w:pPr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lastRenderedPageBreak/>
        <w:t>Inconsistencia en denominación de tramos</w:t>
      </w:r>
    </w:p>
    <w:p w14:paraId="08BE6DC3" w14:textId="1B94A6CD" w:rsidR="00A37881" w:rsidRPr="00A37881" w:rsidRDefault="00A37881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A37881">
        <w:rPr>
          <w:rFonts w:asciiTheme="majorHAnsi" w:hAnsiTheme="majorHAnsi" w:cstheme="majorHAnsi"/>
          <w:sz w:val="22"/>
          <w:szCs w:val="22"/>
        </w:rPr>
        <w:t xml:space="preserve">Se usan distintas formas para referirse a los </w:t>
      </w:r>
      <w:r w:rsidR="00612F06">
        <w:rPr>
          <w:rFonts w:asciiTheme="majorHAnsi" w:hAnsiTheme="majorHAnsi" w:cstheme="majorHAnsi"/>
          <w:sz w:val="22"/>
          <w:szCs w:val="22"/>
        </w:rPr>
        <w:t>“</w:t>
      </w:r>
      <w:r w:rsidRPr="00A37881">
        <w:rPr>
          <w:rFonts w:asciiTheme="majorHAnsi" w:hAnsiTheme="majorHAnsi" w:cstheme="majorHAnsi"/>
          <w:sz w:val="22"/>
          <w:szCs w:val="22"/>
        </w:rPr>
        <w:t>tramos</w:t>
      </w:r>
      <w:r w:rsidR="00612F06">
        <w:rPr>
          <w:rFonts w:asciiTheme="majorHAnsi" w:hAnsiTheme="majorHAnsi" w:cstheme="majorHAnsi"/>
          <w:sz w:val="22"/>
          <w:szCs w:val="22"/>
        </w:rPr>
        <w:t xml:space="preserve">”: </w:t>
      </w:r>
      <w:r w:rsidRPr="00A37881">
        <w:rPr>
          <w:rFonts w:asciiTheme="majorHAnsi" w:hAnsiTheme="majorHAnsi" w:cstheme="majorHAnsi"/>
          <w:sz w:val="22"/>
          <w:szCs w:val="22"/>
        </w:rPr>
        <w:t>CIV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segmentos viales</w:t>
      </w:r>
      <w:r w:rsidR="00612F06">
        <w:rPr>
          <w:rFonts w:asciiTheme="majorHAnsi" w:hAnsiTheme="majorHAnsi" w:cstheme="majorHAnsi"/>
          <w:sz w:val="22"/>
          <w:szCs w:val="22"/>
        </w:rPr>
        <w:t xml:space="preserve">, </w:t>
      </w:r>
      <w:r w:rsidRPr="00A37881">
        <w:rPr>
          <w:rFonts w:asciiTheme="majorHAnsi" w:hAnsiTheme="majorHAnsi" w:cstheme="majorHAnsi"/>
          <w:sz w:val="22"/>
          <w:szCs w:val="22"/>
        </w:rPr>
        <w:t>tramos</w:t>
      </w:r>
      <w:r w:rsidR="00612F06">
        <w:rPr>
          <w:rFonts w:asciiTheme="majorHAnsi" w:hAnsiTheme="majorHAnsi" w:cstheme="majorHAnsi"/>
          <w:sz w:val="22"/>
          <w:szCs w:val="22"/>
        </w:rPr>
        <w:t xml:space="preserve">. </w:t>
      </w:r>
      <w:r w:rsidRPr="00A37881">
        <w:rPr>
          <w:rFonts w:asciiTheme="majorHAnsi" w:hAnsiTheme="majorHAnsi" w:cstheme="majorHAnsi"/>
          <w:sz w:val="22"/>
          <w:szCs w:val="22"/>
        </w:rPr>
        <w:t>Esto aparece mezclado a lo largo del documento</w:t>
      </w:r>
      <w:r w:rsidR="00612F06">
        <w:rPr>
          <w:rFonts w:asciiTheme="majorHAnsi" w:hAnsiTheme="majorHAnsi" w:cstheme="majorHAnsi"/>
          <w:sz w:val="22"/>
          <w:szCs w:val="22"/>
        </w:rPr>
        <w:t xml:space="preserve">. Les sugiero </w:t>
      </w:r>
      <w:r w:rsidRPr="00A37881">
        <w:rPr>
          <w:rFonts w:asciiTheme="majorHAnsi" w:hAnsiTheme="majorHAnsi" w:cstheme="majorHAnsi"/>
          <w:sz w:val="22"/>
          <w:szCs w:val="22"/>
        </w:rPr>
        <w:t>Definir al inicio</w:t>
      </w:r>
      <w:r w:rsidR="00612F06">
        <w:rPr>
          <w:rFonts w:asciiTheme="majorHAnsi" w:hAnsiTheme="majorHAnsi" w:cstheme="majorHAnsi"/>
          <w:sz w:val="22"/>
          <w:szCs w:val="22"/>
        </w:rPr>
        <w:t xml:space="preserve"> un texto orientado </w:t>
      </w:r>
      <w:r w:rsidR="001513B2">
        <w:rPr>
          <w:rFonts w:asciiTheme="majorHAnsi" w:hAnsiTheme="majorHAnsi" w:cstheme="majorHAnsi"/>
          <w:sz w:val="22"/>
          <w:szCs w:val="22"/>
        </w:rPr>
        <w:t xml:space="preserve">a </w:t>
      </w:r>
      <w:r w:rsidRPr="00A37881">
        <w:rPr>
          <w:rFonts w:asciiTheme="majorHAnsi" w:hAnsiTheme="majorHAnsi" w:cstheme="majorHAnsi"/>
          <w:sz w:val="22"/>
          <w:szCs w:val="22"/>
        </w:rPr>
        <w:t>“en adelante denominados CIV”.</w:t>
      </w:r>
    </w:p>
    <w:p w14:paraId="3FC39B39" w14:textId="655AA6CA" w:rsidR="00A37881" w:rsidRPr="00B74D38" w:rsidRDefault="00A37881" w:rsidP="00B74D38">
      <w:pPr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Observación </w:t>
      </w:r>
      <w:r w:rsidR="001513B2" w:rsidRPr="00B74D38">
        <w:rPr>
          <w:rFonts w:asciiTheme="majorHAnsi" w:hAnsiTheme="majorHAnsi" w:cstheme="majorHAnsi"/>
          <w:b/>
          <w:bCs/>
          <w:sz w:val="22"/>
          <w:szCs w:val="22"/>
          <w:u w:val="single"/>
        </w:rPr>
        <w:t>general</w:t>
      </w:r>
      <w:r w:rsidRPr="00A37881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</w:t>
      </w:r>
    </w:p>
    <w:p w14:paraId="04278FB5" w14:textId="530F0D6A" w:rsidR="009067A5" w:rsidRPr="00B74D38" w:rsidRDefault="001513B2" w:rsidP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B74D38">
        <w:rPr>
          <w:rFonts w:asciiTheme="majorHAnsi" w:hAnsiTheme="majorHAnsi" w:cstheme="majorHAnsi"/>
          <w:sz w:val="22"/>
          <w:szCs w:val="22"/>
        </w:rPr>
        <w:t xml:space="preserve">Evalúen </w:t>
      </w:r>
      <w:r w:rsidR="00B74D38" w:rsidRPr="00B74D38">
        <w:rPr>
          <w:rFonts w:asciiTheme="majorHAnsi" w:hAnsiTheme="majorHAnsi" w:cstheme="majorHAnsi"/>
          <w:sz w:val="22"/>
          <w:szCs w:val="22"/>
        </w:rPr>
        <w:t>a posibilidad de reforzar en el documento el enfoque de armonización de obras existentes, incorporando de manera más explícita referencias a la integración de la infraestructura previamente construida, la protección del recurso público y la no demolición de estructuras sin justificación técnica</w:t>
      </w:r>
      <w:r w:rsidR="00B74D38">
        <w:rPr>
          <w:rFonts w:asciiTheme="majorHAnsi" w:hAnsiTheme="majorHAnsi" w:cstheme="majorHAnsi"/>
          <w:sz w:val="22"/>
          <w:szCs w:val="22"/>
        </w:rPr>
        <w:t>.</w:t>
      </w:r>
    </w:p>
    <w:p w14:paraId="26D1AB6B" w14:textId="77777777" w:rsidR="00B74D38" w:rsidRPr="00B74D38" w:rsidRDefault="00B74D38">
      <w:pPr>
        <w:tabs>
          <w:tab w:val="num" w:pos="720"/>
        </w:tabs>
        <w:jc w:val="both"/>
        <w:rPr>
          <w:rFonts w:asciiTheme="majorHAnsi" w:hAnsiTheme="majorHAnsi" w:cstheme="majorHAnsi"/>
          <w:sz w:val="22"/>
          <w:szCs w:val="22"/>
        </w:rPr>
      </w:pPr>
    </w:p>
    <w:sectPr w:rsidR="00B74D38" w:rsidRPr="00B74D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58"/>
    <w:multiLevelType w:val="multilevel"/>
    <w:tmpl w:val="3F06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F50AD9"/>
    <w:multiLevelType w:val="multilevel"/>
    <w:tmpl w:val="957C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20745"/>
    <w:multiLevelType w:val="multilevel"/>
    <w:tmpl w:val="2A0A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954DF4"/>
    <w:multiLevelType w:val="multilevel"/>
    <w:tmpl w:val="984A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7567E"/>
    <w:multiLevelType w:val="multilevel"/>
    <w:tmpl w:val="CE7C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EF0B35"/>
    <w:multiLevelType w:val="multilevel"/>
    <w:tmpl w:val="4F501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C2826"/>
    <w:multiLevelType w:val="multilevel"/>
    <w:tmpl w:val="D902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51514"/>
    <w:multiLevelType w:val="multilevel"/>
    <w:tmpl w:val="BD4C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6612C1"/>
    <w:multiLevelType w:val="multilevel"/>
    <w:tmpl w:val="47C8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E17465"/>
    <w:multiLevelType w:val="multilevel"/>
    <w:tmpl w:val="1CC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2B78D8"/>
    <w:multiLevelType w:val="multilevel"/>
    <w:tmpl w:val="8D12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C4188E"/>
    <w:multiLevelType w:val="multilevel"/>
    <w:tmpl w:val="7926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2D68CB"/>
    <w:multiLevelType w:val="multilevel"/>
    <w:tmpl w:val="0E60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F956F6"/>
    <w:multiLevelType w:val="multilevel"/>
    <w:tmpl w:val="B676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AA5018"/>
    <w:multiLevelType w:val="multilevel"/>
    <w:tmpl w:val="CA9A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6623B"/>
    <w:multiLevelType w:val="multilevel"/>
    <w:tmpl w:val="65AE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1A22D6"/>
    <w:multiLevelType w:val="multilevel"/>
    <w:tmpl w:val="52C8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1517A2"/>
    <w:multiLevelType w:val="multilevel"/>
    <w:tmpl w:val="99C0F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7F13F4"/>
    <w:multiLevelType w:val="multilevel"/>
    <w:tmpl w:val="3F4A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890F2A"/>
    <w:multiLevelType w:val="multilevel"/>
    <w:tmpl w:val="F2B6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4718327">
    <w:abstractNumId w:val="16"/>
  </w:num>
  <w:num w:numId="2" w16cid:durableId="165753672">
    <w:abstractNumId w:val="15"/>
  </w:num>
  <w:num w:numId="3" w16cid:durableId="2034190720">
    <w:abstractNumId w:val="2"/>
  </w:num>
  <w:num w:numId="4" w16cid:durableId="746808303">
    <w:abstractNumId w:val="17"/>
  </w:num>
  <w:num w:numId="5" w16cid:durableId="86125531">
    <w:abstractNumId w:val="6"/>
  </w:num>
  <w:num w:numId="6" w16cid:durableId="1200892509">
    <w:abstractNumId w:val="11"/>
  </w:num>
  <w:num w:numId="7" w16cid:durableId="1938639773">
    <w:abstractNumId w:val="18"/>
  </w:num>
  <w:num w:numId="8" w16cid:durableId="1427648492">
    <w:abstractNumId w:val="0"/>
  </w:num>
  <w:num w:numId="9" w16cid:durableId="556669477">
    <w:abstractNumId w:val="9"/>
  </w:num>
  <w:num w:numId="10" w16cid:durableId="1310741696">
    <w:abstractNumId w:val="12"/>
  </w:num>
  <w:num w:numId="11" w16cid:durableId="654527059">
    <w:abstractNumId w:val="1"/>
  </w:num>
  <w:num w:numId="12" w16cid:durableId="1099136611">
    <w:abstractNumId w:val="4"/>
  </w:num>
  <w:num w:numId="13" w16cid:durableId="1523586576">
    <w:abstractNumId w:val="19"/>
  </w:num>
  <w:num w:numId="14" w16cid:durableId="689986330">
    <w:abstractNumId w:val="5"/>
  </w:num>
  <w:num w:numId="15" w16cid:durableId="1060440017">
    <w:abstractNumId w:val="14"/>
  </w:num>
  <w:num w:numId="16" w16cid:durableId="705719952">
    <w:abstractNumId w:val="3"/>
  </w:num>
  <w:num w:numId="17" w16cid:durableId="1530684406">
    <w:abstractNumId w:val="13"/>
  </w:num>
  <w:num w:numId="18" w16cid:durableId="1950967808">
    <w:abstractNumId w:val="10"/>
  </w:num>
  <w:num w:numId="19" w16cid:durableId="169879191">
    <w:abstractNumId w:val="8"/>
  </w:num>
  <w:num w:numId="20" w16cid:durableId="2115592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81"/>
    <w:rsid w:val="001513B2"/>
    <w:rsid w:val="001F02BE"/>
    <w:rsid w:val="00612F06"/>
    <w:rsid w:val="009067A5"/>
    <w:rsid w:val="00981440"/>
    <w:rsid w:val="00A37881"/>
    <w:rsid w:val="00B22391"/>
    <w:rsid w:val="00B74D38"/>
    <w:rsid w:val="00D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EC02"/>
  <w15:chartTrackingRefBased/>
  <w15:docId w15:val="{7631353E-72EC-42EA-9962-4D4B0901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378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78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78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78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78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78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78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78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78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78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78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78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788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788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788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788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788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788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78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78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78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78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78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788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788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788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78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788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78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508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Wilder Centeno B.</dc:creator>
  <cp:keywords/>
  <dc:description/>
  <cp:lastModifiedBy>Wilder Centeno B.</cp:lastModifiedBy>
  <cp:revision>1</cp:revision>
  <dcterms:created xsi:type="dcterms:W3CDTF">2026-03-04T05:31:00Z</dcterms:created>
  <dcterms:modified xsi:type="dcterms:W3CDTF">2026-03-04T06:28:00Z</dcterms:modified>
</cp:coreProperties>
</file>